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6E" w:rsidRPr="006D0B85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  <w:proofErr w:type="spellStart"/>
      <w:r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e</w:t>
      </w:r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ISSN</w:t>
      </w:r>
      <w:proofErr w:type="spellEnd"/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 xml:space="preserve"> 2444-7986</w:t>
      </w: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B85">
        <w:rPr>
          <w:rFonts w:ascii="Arial" w:hAnsi="Arial" w:cs="Arial"/>
          <w:sz w:val="24"/>
          <w:szCs w:val="24"/>
          <w:lang w:val="en-US"/>
        </w:rPr>
        <w:t xml:space="preserve">DOI: 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B136A6" w:rsidRPr="006D0B85">
        <w:rPr>
          <w:rFonts w:ascii="Arial" w:hAnsi="Arial" w:cs="Arial"/>
          <w:color w:val="000000"/>
          <w:sz w:val="24"/>
          <w:szCs w:val="24"/>
          <w:lang w:val="en-US"/>
        </w:rPr>
        <w:t>s://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doi.org/10.14201/</w:t>
      </w:r>
      <w:r w:rsidR="00366886" w:rsidRPr="006D0B85">
        <w:rPr>
          <w:rFonts w:ascii="Arial" w:hAnsi="Arial" w:cs="Arial"/>
          <w:color w:val="000000"/>
          <w:sz w:val="24"/>
          <w:szCs w:val="24"/>
          <w:lang w:val="en-US"/>
        </w:rPr>
        <w:t>orl</w:t>
      </w:r>
      <w:r w:rsidR="00E8591D" w:rsidRPr="006D0B8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591597" w:rsidRPr="006D0B85">
        <w:rPr>
          <w:rFonts w:ascii="Arial" w:hAnsi="Arial" w:cs="Arial"/>
          <w:color w:val="000000"/>
          <w:sz w:val="24"/>
          <w:szCs w:val="24"/>
          <w:lang w:val="en-US"/>
        </w:rPr>
        <w:t>1005</w:t>
      </w:r>
    </w:p>
    <w:p w:rsidR="00F97D6E" w:rsidRPr="006D0B85" w:rsidRDefault="00F97D6E" w:rsidP="00F57CEE">
      <w:pPr>
        <w:pStyle w:val="Encabezado"/>
        <w:outlineLvl w:val="0"/>
        <w:rPr>
          <w:rFonts w:ascii="Arial" w:hAnsi="Arial" w:cs="Arial"/>
          <w:sz w:val="20"/>
          <w:szCs w:val="20"/>
          <w:lang w:val="en-US"/>
        </w:rPr>
      </w:pPr>
    </w:p>
    <w:p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:rsidR="00F97D6E" w:rsidRPr="006D0B85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D0B85">
        <w:rPr>
          <w:rFonts w:ascii="Arial" w:hAnsi="Arial" w:cs="Arial"/>
          <w:sz w:val="24"/>
          <w:szCs w:val="24"/>
        </w:rPr>
        <w:t xml:space="preserve">Resumen de comunicación </w:t>
      </w:r>
      <w:r w:rsidR="008F279F">
        <w:rPr>
          <w:rFonts w:ascii="Arial" w:hAnsi="Arial" w:cs="Arial"/>
          <w:sz w:val="24"/>
          <w:szCs w:val="24"/>
        </w:rPr>
        <w:t>póster</w:t>
      </w:r>
    </w:p>
    <w:p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2085"/>
        <w:gridCol w:w="6448"/>
      </w:tblGrid>
      <w:tr w:rsidR="00680C99" w:rsidRPr="006D0B85" w:rsidTr="00680C99">
        <w:tc>
          <w:tcPr>
            <w:tcW w:w="2085" w:type="dxa"/>
            <w:hideMark/>
          </w:tcPr>
          <w:p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864AD7">
              <w:rPr>
                <w:rFonts w:ascii="Arial" w:hAnsi="Arial" w:cs="Arial"/>
                <w:sz w:val="16"/>
                <w:szCs w:val="28"/>
              </w:rPr>
              <w:t>Título</w:t>
            </w:r>
          </w:p>
        </w:tc>
        <w:tc>
          <w:tcPr>
            <w:tcW w:w="6448" w:type="dxa"/>
            <w:hideMark/>
          </w:tcPr>
          <w:p w:rsidR="00680C99" w:rsidRPr="006D0B85" w:rsidRDefault="006A7AC6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7AC6">
              <w:rPr>
                <w:rFonts w:ascii="Arial" w:hAnsi="Arial" w:cs="Arial"/>
                <w:sz w:val="28"/>
                <w:szCs w:val="28"/>
              </w:rPr>
              <w:t xml:space="preserve">Nuestro protocolo en </w:t>
            </w:r>
            <w:r w:rsidR="004323F9">
              <w:rPr>
                <w:rFonts w:ascii="Arial" w:hAnsi="Arial" w:cs="Arial"/>
                <w:sz w:val="28"/>
                <w:szCs w:val="28"/>
              </w:rPr>
              <w:t xml:space="preserve">el manejo de </w:t>
            </w:r>
            <w:r w:rsidRPr="006A7AC6">
              <w:rPr>
                <w:rFonts w:ascii="Arial" w:hAnsi="Arial" w:cs="Arial"/>
                <w:sz w:val="28"/>
                <w:szCs w:val="28"/>
              </w:rPr>
              <w:t>la tos crónica.</w:t>
            </w:r>
          </w:p>
        </w:tc>
      </w:tr>
      <w:tr w:rsidR="00680C99" w:rsidRPr="006D0B85" w:rsidTr="00680C99">
        <w:tc>
          <w:tcPr>
            <w:tcW w:w="2085" w:type="dxa"/>
            <w:hideMark/>
          </w:tcPr>
          <w:p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Title</w:t>
            </w:r>
            <w:proofErr w:type="spellEnd"/>
            <w:r w:rsidRPr="00864AD7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english</w:t>
            </w:r>
            <w:proofErr w:type="spellEnd"/>
          </w:p>
        </w:tc>
        <w:tc>
          <w:tcPr>
            <w:tcW w:w="6448" w:type="dxa"/>
            <w:hideMark/>
          </w:tcPr>
          <w:p w:rsidR="00680C99" w:rsidRPr="006D0B85" w:rsidRDefault="00E24768" w:rsidP="004323F9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Our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protocol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4323F9">
              <w:rPr>
                <w:rFonts w:ascii="Arial" w:hAnsi="Arial" w:cs="Arial"/>
                <w:i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chronic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cough</w:t>
            </w:r>
            <w:proofErr w:type="spellEnd"/>
            <w:r w:rsidR="004323F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4323F9">
              <w:rPr>
                <w:rFonts w:ascii="Arial" w:hAnsi="Arial" w:cs="Arial"/>
                <w:i/>
                <w:sz w:val="28"/>
                <w:szCs w:val="28"/>
              </w:rPr>
              <w:t>management</w:t>
            </w:r>
            <w:proofErr w:type="spellEnd"/>
          </w:p>
        </w:tc>
      </w:tr>
    </w:tbl>
    <w:p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126"/>
        <w:gridCol w:w="6623"/>
      </w:tblGrid>
      <w:tr w:rsidR="003854E7" w:rsidRPr="006D0B85" w:rsidTr="002042B4">
        <w:tc>
          <w:tcPr>
            <w:tcW w:w="2127" w:type="dxa"/>
            <w:hideMark/>
          </w:tcPr>
          <w:p w:rsidR="003854E7" w:rsidRPr="00CF5D01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64AD7">
              <w:rPr>
                <w:rFonts w:ascii="Arial" w:hAnsi="Arial" w:cs="Arial"/>
                <w:i/>
                <w:sz w:val="16"/>
                <w:szCs w:val="20"/>
              </w:rPr>
              <w:t>Autores</w:t>
            </w:r>
            <w:bookmarkStart w:id="0" w:name="_GoBack"/>
            <w:bookmarkEnd w:id="0"/>
          </w:p>
        </w:tc>
        <w:tc>
          <w:tcPr>
            <w:tcW w:w="6627" w:type="dxa"/>
            <w:hideMark/>
          </w:tcPr>
          <w:p w:rsidR="003854E7" w:rsidRPr="006D0B85" w:rsidRDefault="000E13CC" w:rsidP="00955C2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Blanca 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>Galindo</w:t>
            </w:r>
            <w:r>
              <w:rPr>
                <w:rFonts w:ascii="Arial" w:hAnsi="Arial" w:cs="Arial"/>
                <w:i/>
                <w:sz w:val="20"/>
                <w:szCs w:val="20"/>
              </w:rPr>
              <w:t>-Torres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Danilo 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>Terán</w:t>
            </w:r>
            <w:r>
              <w:rPr>
                <w:rFonts w:ascii="Arial" w:hAnsi="Arial" w:cs="Arial"/>
                <w:i/>
                <w:sz w:val="20"/>
                <w:szCs w:val="20"/>
              </w:rPr>
              <w:t>-Muñoz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Pierre </w:t>
            </w:r>
            <w:proofErr w:type="spellStart"/>
            <w:r w:rsidRPr="000E13CC">
              <w:rPr>
                <w:rFonts w:ascii="Arial" w:hAnsi="Arial" w:cs="Arial"/>
                <w:i/>
                <w:sz w:val="20"/>
                <w:szCs w:val="20"/>
              </w:rPr>
              <w:t>Ansorena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-González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Isabel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 xml:space="preserve"> Fern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>ndez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 xml:space="preserve">de Alba, </w:t>
            </w:r>
            <w:proofErr w:type="spellStart"/>
            <w:r w:rsidR="00955C24">
              <w:rPr>
                <w:rFonts w:ascii="Arial" w:hAnsi="Arial" w:cs="Arial"/>
                <w:i/>
                <w:sz w:val="20"/>
                <w:szCs w:val="20"/>
              </w:rPr>
              <w:t>Maria</w:t>
            </w:r>
            <w:proofErr w:type="spellEnd"/>
            <w:r w:rsidR="00955C24">
              <w:rPr>
                <w:rFonts w:ascii="Arial" w:hAnsi="Arial" w:cs="Arial"/>
                <w:i/>
                <w:sz w:val="20"/>
                <w:szCs w:val="20"/>
              </w:rPr>
              <w:t xml:space="preserve"> Isabel Calle </w:t>
            </w:r>
            <w:proofErr w:type="spellStart"/>
            <w:r w:rsidR="00955C24">
              <w:rPr>
                <w:rFonts w:ascii="Arial" w:hAnsi="Arial" w:cs="Arial"/>
                <w:i/>
                <w:sz w:val="20"/>
                <w:szCs w:val="20"/>
              </w:rPr>
              <w:t>Cabanillas</w:t>
            </w:r>
            <w:proofErr w:type="spellEnd"/>
            <w:r w:rsidRPr="000E13C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Ana Isabel </w:t>
            </w:r>
            <w:r w:rsidRPr="000E13CC">
              <w:rPr>
                <w:rFonts w:ascii="Arial" w:hAnsi="Arial" w:cs="Arial"/>
                <w:i/>
                <w:sz w:val="20"/>
                <w:szCs w:val="20"/>
              </w:rPr>
              <w:t>Navazo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Eguía</w:t>
            </w:r>
            <w:proofErr w:type="spellEnd"/>
          </w:p>
        </w:tc>
      </w:tr>
    </w:tbl>
    <w:p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094"/>
        <w:gridCol w:w="6439"/>
      </w:tblGrid>
      <w:tr w:rsidR="003854E7" w:rsidRPr="006D0B85" w:rsidTr="002042B4">
        <w:tc>
          <w:tcPr>
            <w:tcW w:w="2094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</w:p>
        </w:tc>
        <w:tc>
          <w:tcPr>
            <w:tcW w:w="6439" w:type="dxa"/>
            <w:hideMark/>
          </w:tcPr>
          <w:p w:rsidR="003854E7" w:rsidRPr="006D0B85" w:rsidRDefault="00747DCF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4E7" w:rsidRPr="00CF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854E7"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3854E7"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3854E7"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3854E7"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3854E7"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0E13CC">
              <w:rPr>
                <w:rFonts w:ascii="Arial" w:hAnsi="Arial" w:cs="Arial"/>
                <w:i/>
                <w:sz w:val="16"/>
                <w:szCs w:val="16"/>
              </w:rPr>
              <w:t>Hospital Universitario de Burgos</w:t>
            </w:r>
          </w:p>
        </w:tc>
      </w:tr>
    </w:tbl>
    <w:p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094"/>
        <w:gridCol w:w="6439"/>
      </w:tblGrid>
      <w:tr w:rsidR="003854E7" w:rsidRPr="006D0B85" w:rsidTr="002042B4">
        <w:tc>
          <w:tcPr>
            <w:tcW w:w="2094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439" w:type="dxa"/>
            <w:hideMark/>
          </w:tcPr>
          <w:p w:rsidR="003854E7" w:rsidRPr="006D0B85" w:rsidRDefault="00747DCF" w:rsidP="00955C24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hyperlink r:id="rId7" w:history="1">
              <w:r w:rsidR="00E24768" w:rsidRPr="003C6733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togablank@hotmail.com</w:t>
              </w:r>
            </w:hyperlink>
            <w:r w:rsidR="00E2476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E13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8" w:history="1">
              <w:r w:rsidR="000E13CC" w:rsidRPr="003C6733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drdaniloteran@gmail.com</w:t>
              </w:r>
            </w:hyperlink>
            <w:r w:rsidR="000E13C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hyperlink r:id="rId9" w:history="1">
              <w:r w:rsidR="000E13CC" w:rsidRPr="003C6733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pierreansorena@hotmail.com</w:t>
              </w:r>
            </w:hyperlink>
            <w:r w:rsidR="000E13C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hyperlink r:id="rId10" w:history="1">
              <w:r w:rsidR="00DC17B6" w:rsidRPr="00C80DFA">
                <w:rPr>
                  <w:rStyle w:val="Hipervnculo"/>
                  <w:rFonts w:ascii="Segoe UI" w:hAnsi="Segoe UI" w:cs="Segoe UI"/>
                  <w:sz w:val="15"/>
                  <w:szCs w:val="15"/>
                  <w:shd w:val="clear" w:color="auto" w:fill="FFFFFF"/>
                </w:rPr>
                <w:t>isabelfdezalba@gmail.com</w:t>
              </w:r>
            </w:hyperlink>
            <w:r w:rsidR="00DC17B6">
              <w:rPr>
                <w:rFonts w:ascii="Segoe UI" w:hAnsi="Segoe UI" w:cs="Segoe UI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hyperlink r:id="rId11" w:history="1">
              <w:r w:rsidR="00955C24" w:rsidRPr="00145F76">
                <w:rPr>
                  <w:rStyle w:val="Hipervnculo"/>
                  <w:rFonts w:ascii="Segoe UI" w:hAnsi="Segoe UI" w:cs="Segoe UI"/>
                  <w:sz w:val="15"/>
                  <w:szCs w:val="15"/>
                  <w:shd w:val="clear" w:color="auto" w:fill="FFFFFF"/>
                </w:rPr>
                <w:t>yaextoyaqui@hotmail.com</w:t>
              </w:r>
            </w:hyperlink>
            <w:r w:rsidR="00955C24">
              <w:rPr>
                <w:rFonts w:ascii="Segoe UI" w:hAnsi="Segoe UI" w:cs="Segoe UI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hyperlink r:id="rId12" w:history="1">
              <w:r w:rsidR="00E24768" w:rsidRPr="003C6733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navazoeguia@gmail.com</w:t>
              </w:r>
            </w:hyperlink>
            <w:r w:rsidR="00E2476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</w:p>
        </w:tc>
      </w:tr>
    </w:tbl>
    <w:p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51FB" w:rsidRPr="006D0B85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D0B85">
        <w:rPr>
          <w:rFonts w:ascii="Arial" w:hAnsi="Arial" w:cs="Arial"/>
          <w:sz w:val="16"/>
          <w:szCs w:val="16"/>
        </w:rPr>
        <w:t>F</w:t>
      </w:r>
      <w:r w:rsidR="004351FB" w:rsidRPr="006D0B85">
        <w:rPr>
          <w:rFonts w:ascii="Arial" w:hAnsi="Arial" w:cs="Arial"/>
          <w:sz w:val="16"/>
          <w:szCs w:val="16"/>
        </w:rPr>
        <w:t>echa</w:t>
      </w:r>
      <w:r w:rsidR="00154A3A" w:rsidRPr="006D0B85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6D0B85">
        <w:rPr>
          <w:rFonts w:ascii="Arial" w:hAnsi="Arial" w:cs="Arial"/>
          <w:sz w:val="16"/>
          <w:szCs w:val="16"/>
        </w:rPr>
        <w:t>fascículo</w:t>
      </w:r>
      <w:r w:rsidR="00154A3A" w:rsidRPr="006D0B85">
        <w:rPr>
          <w:rFonts w:ascii="Arial" w:hAnsi="Arial" w:cs="Arial"/>
          <w:sz w:val="16"/>
          <w:szCs w:val="16"/>
        </w:rPr>
        <w:t>:</w:t>
      </w:r>
      <w:r w:rsidR="006A4129" w:rsidRPr="006D0B85">
        <w:rPr>
          <w:rFonts w:ascii="Arial" w:hAnsi="Arial" w:cs="Arial"/>
          <w:sz w:val="16"/>
          <w:szCs w:val="16"/>
        </w:rPr>
        <w:t xml:space="preserve"> 1 de julio de 2018</w:t>
      </w: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656"/>
        <w:gridCol w:w="6843"/>
      </w:tblGrid>
      <w:tr w:rsidR="00277077" w:rsidRPr="008F279F" w:rsidTr="0023778A">
        <w:tc>
          <w:tcPr>
            <w:tcW w:w="1656" w:type="dxa"/>
            <w:shd w:val="clear" w:color="auto" w:fill="auto"/>
          </w:tcPr>
          <w:p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:rsidR="006D0B85" w:rsidRPr="008F279F" w:rsidRDefault="00747DCF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D0B85"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</w:instrText>
            </w:r>
            <w:bookmarkStart w:id="1" w:name="Texto11"/>
            <w:r w:rsidR="006D0B85"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FORMTEXT </w:instrTex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="006D0B85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Introducción y objetivo:</w:t>
            </w:r>
            <w:r w:rsid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La tos se considera el principal mecanismo de defensa frente a agentes infecciosos, cuerpos extraños, factores irritantes o para la movilización de secreciones. </w:t>
            </w:r>
            <w:r w:rsidR="00ED578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Se ha descrito una prevalencia de la tos crónica idiopática en adultos de hasta un 20% de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la población general, y su evaluación y manejo supone el 40</w:t>
            </w:r>
            <w:r w:rsidR="00ED578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% del volumen de la consulta.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El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objetivo es repasar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las herramientas diagnósticas 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que tenemos a nuestro alcance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así como la actitud terapéutica a seguir en estos pacientes,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para crear así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un protocolo de actuación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. </w:t>
            </w:r>
          </w:p>
          <w:p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Material y Método:</w:t>
            </w:r>
            <w:r w:rsid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S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e presenta el nuevo protocolo para la evaluación y manejo de la tos crónica realizado en nuestro hospital.</w:t>
            </w:r>
          </w:p>
          <w:p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Resultados:</w:t>
            </w:r>
            <w:r w:rsid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a identificación de las causas principales 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de la tos crónica 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es imprescindible 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para su manejo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; entre ellas, la toma</w:t>
            </w:r>
            <w:r w:rsidR="00DC17B6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de IECAs, el tabaquismo, el reflujo gastroesofácio, el asma o la rinosinusitis son desencadentantes que se deben descartar. Para ello, resulta ú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til la realización de la historia médica y el examen físico, 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así como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la búsqueda de síntomas de alarma. Las pruebas diagnósticas más utilizadas son la radiografía de tórax y la espirometría, pudiendo hacerse un estudio exhaustivo para descartar causas más raras con un</w:t>
            </w:r>
            <w:r w:rsid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a TAC de alta resolución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de tórax o una broncoscopia. El tratamiento se basa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en la resolución de la causa que la esté originando, mientras que en los casos de tos idiopática o tos crónica refractaria podría administrarse un tratamiento neuromodulador con fármacos como la Gabapentina o Pregabalina, la Amitriptilina, la 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Morfina de liberación retardada o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el Baclofeno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. La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logopedia y fisioterapia respiratoria</w:t>
            </w:r>
            <w:r w:rsidR="00D25FB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se consideran terapias complementarias que también pueden ayudar a su resolución</w:t>
            </w:r>
            <w:r w:rsidR="00E24768" w:rsidRPr="00E2476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.</w:t>
            </w:r>
          </w:p>
          <w:p w:rsidR="00307660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Conclusiones:</w:t>
            </w:r>
            <w:r w:rsidR="00747DCF"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1"/>
            <w:r w:rsidR="00E24768">
              <w:t xml:space="preserve"> </w:t>
            </w:r>
            <w:r w:rsidR="00E24768" w:rsidRPr="00E24768">
              <w:rPr>
                <w:rFonts w:ascii="Arial" w:hAnsi="Arial" w:cs="Arial"/>
                <w:sz w:val="16"/>
                <w:szCs w:val="16"/>
                <w:lang w:eastAsia="en-US"/>
              </w:rPr>
              <w:t>Es importante prestar atención a posibles factores desencadenantes de la tos, así como a los síntomas de alarma. La logopedia puede ser una alternativa eficaz en tos crónica resistente a los tratamientos médicos.</w:t>
            </w:r>
          </w:p>
        </w:tc>
      </w:tr>
      <w:tr w:rsidR="006D0B85" w:rsidRPr="008F279F" w:rsidTr="0023778A">
        <w:tc>
          <w:tcPr>
            <w:tcW w:w="1656" w:type="dxa"/>
            <w:shd w:val="clear" w:color="auto" w:fill="auto"/>
          </w:tcPr>
          <w:p w:rsidR="006D0B85" w:rsidRPr="008F279F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8F279F" w:rsidTr="0023778A">
        <w:tc>
          <w:tcPr>
            <w:tcW w:w="1656" w:type="dxa"/>
            <w:shd w:val="clear" w:color="auto" w:fill="auto"/>
          </w:tcPr>
          <w:p w:rsidR="00C01E42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:rsidR="00C01E42" w:rsidRPr="008F279F" w:rsidRDefault="00747DCF" w:rsidP="001F38F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307660"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2"/>
            <w:r w:rsidR="001F38FC">
              <w:rPr>
                <w:rFonts w:ascii="Arial" w:hAnsi="Arial" w:cs="Arial"/>
                <w:sz w:val="16"/>
                <w:szCs w:val="16"/>
                <w:lang w:eastAsia="en-US"/>
              </w:rPr>
              <w:t>Tos crónica, E</w:t>
            </w:r>
            <w:r w:rsidR="00E24768">
              <w:rPr>
                <w:rFonts w:ascii="Arial" w:hAnsi="Arial" w:cs="Arial"/>
                <w:sz w:val="16"/>
                <w:szCs w:val="16"/>
                <w:lang w:eastAsia="en-US"/>
              </w:rPr>
              <w:t xml:space="preserve">valuación, </w:t>
            </w:r>
            <w:r w:rsidR="001F38FC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E24768">
              <w:rPr>
                <w:rFonts w:ascii="Arial" w:hAnsi="Arial" w:cs="Arial"/>
                <w:sz w:val="16"/>
                <w:szCs w:val="16"/>
                <w:lang w:eastAsia="en-US"/>
              </w:rPr>
              <w:t>ratamiento</w:t>
            </w:r>
          </w:p>
        </w:tc>
      </w:tr>
      <w:tr w:rsidR="00C01E42" w:rsidRPr="008F279F" w:rsidTr="0023778A">
        <w:tc>
          <w:tcPr>
            <w:tcW w:w="1656" w:type="dxa"/>
            <w:shd w:val="clear" w:color="auto" w:fill="auto"/>
          </w:tcPr>
          <w:p w:rsidR="00C01E42" w:rsidRPr="008F279F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:rsidR="00C01E42" w:rsidRPr="008F279F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8F279F" w:rsidTr="0023778A">
        <w:tc>
          <w:tcPr>
            <w:tcW w:w="1656" w:type="dxa"/>
            <w:shd w:val="clear" w:color="auto" w:fill="auto"/>
          </w:tcPr>
          <w:p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Summary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:rsidR="00735D2D" w:rsidRPr="00735D2D" w:rsidRDefault="00735D2D" w:rsidP="00735D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Introduction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aim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considered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main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defense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mechanism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against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infectious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agents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foreign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bodies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irritant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factors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mobilization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secretions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A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prevalence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chronic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idiopathic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adults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up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20% of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general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population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has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been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described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and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its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evaluation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management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represent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40% of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volume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consultation</w:t>
            </w:r>
            <w:proofErr w:type="spellEnd"/>
            <w:proofErr w:type="gramStart"/>
            <w:r w:rsidR="00F9432C" w:rsidRPr="00F9432C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review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diagnostic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too</w:t>
            </w:r>
            <w:r w:rsidR="00D33461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well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therapeutic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attitude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followed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these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in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order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create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protocol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action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35D2D" w:rsidRPr="00735D2D" w:rsidRDefault="00735D2D" w:rsidP="00735D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Material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Method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new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protocol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evaluation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manage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chronic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in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our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hospital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presented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35D2D" w:rsidRPr="00735D2D" w:rsidRDefault="00735D2D" w:rsidP="00735D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Results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identification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main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causes of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chronic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essential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management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;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among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intake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inhibitors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smoke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gastroesophageal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reflux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asthma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rhinosinusitis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triggers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should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ruled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out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aim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useful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carry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out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medical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history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physical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examination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well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search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alarm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symptoms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most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commonly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used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diagnostic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tests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are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chest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x-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ray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spirometry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exhaustive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study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done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rule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out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more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rare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causes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with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high-resolution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CT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scan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chest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bronchoscopy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treatment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based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resolution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cause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while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cases of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idiopathic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chronic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refractory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neuromodulatory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treatment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with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drugs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such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Gabapentin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Pregabalin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Amitriptyline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Morphine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delayed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release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or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Baclofen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could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administered</w:t>
            </w:r>
            <w:proofErr w:type="spellEnd"/>
            <w:r w:rsidR="00D3346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Speech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therapy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respiratory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physiotherapy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are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considered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complementary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therapies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that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also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help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their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resolution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277077" w:rsidRPr="008F279F" w:rsidRDefault="00735D2D" w:rsidP="00735D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Conclusions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important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pay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attention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possible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factors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that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trigger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coughing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well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alarm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symptoms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Speech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therapy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be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an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effective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alternative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chronic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cough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resistant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medical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treatments</w:t>
            </w:r>
            <w:proofErr w:type="spellEnd"/>
            <w:r w:rsidRPr="00735D2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6D0B85" w:rsidRPr="008F279F" w:rsidTr="007F6FAE">
        <w:tc>
          <w:tcPr>
            <w:tcW w:w="1656" w:type="dxa"/>
            <w:shd w:val="clear" w:color="auto" w:fill="auto"/>
          </w:tcPr>
          <w:p w:rsidR="006D0B85" w:rsidRPr="008F279F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8F279F" w:rsidTr="007F6FAE">
        <w:tc>
          <w:tcPr>
            <w:tcW w:w="1656" w:type="dxa"/>
            <w:shd w:val="clear" w:color="auto" w:fill="auto"/>
          </w:tcPr>
          <w:p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Keywords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:rsidR="00277077" w:rsidRPr="008F279F" w:rsidRDefault="00747DCF" w:rsidP="00E247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307660"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separate"/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="00307660"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end"/>
            </w:r>
            <w:bookmarkEnd w:id="3"/>
            <w:r w:rsidR="00E24768">
              <w:rPr>
                <w:rFonts w:ascii="Arial" w:hAnsi="Arial" w:cs="Arial"/>
                <w:sz w:val="16"/>
                <w:szCs w:val="16"/>
                <w:lang w:val="en-US" w:eastAsia="en-US"/>
              </w:rPr>
              <w:t>Chronic cough, assessment, treatment</w:t>
            </w:r>
          </w:p>
        </w:tc>
      </w:tr>
    </w:tbl>
    <w:p w:rsidR="00277077" w:rsidRDefault="00277077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4354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4354" w:rsidRPr="006D0B85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Política de derechos y autoarchivo: se permite el autoarchivo de la versión post-print (SHERPA/RoMEO)</w:t>
      </w: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 xml:space="preserve">Licencia CC BY-NC-ND. </w:t>
      </w:r>
      <w:hyperlink r:id="rId13" w:history="1">
        <w:r w:rsidRPr="006D0B85">
          <w:rPr>
            <w:rFonts w:ascii="Arial" w:hAnsi="Arial" w:cs="Arial"/>
            <w:sz w:val="16"/>
            <w:szCs w:val="16"/>
            <w:lang w:val="es-ES_tradnl" w:eastAsia="en-US"/>
          </w:rPr>
          <w:t>Licencia Creative Commons Atribución-NoComercial-SinDerivar 4.0 Internacional</w:t>
        </w:r>
      </w:hyperlink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Universidad de Salamanca. Su comercialización está sujeta al permiso del editor</w:t>
      </w:r>
    </w:p>
    <w:p w:rsidR="00DF7EC6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Sect="00C742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28" w:rsidRDefault="00687D28" w:rsidP="00173399">
      <w:pPr>
        <w:spacing w:after="0" w:line="240" w:lineRule="auto"/>
      </w:pPr>
      <w:r>
        <w:separator/>
      </w:r>
    </w:p>
  </w:endnote>
  <w:endnote w:type="continuationSeparator" w:id="0">
    <w:p w:rsidR="00687D28" w:rsidRDefault="00687D28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Default="00747DCF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4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4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42B4" w:rsidRDefault="002042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040F98">
      <w:rPr>
        <w:rStyle w:val="Nmerodepgina"/>
        <w:rFonts w:ascii="Arial" w:hAnsi="Arial" w:cs="Arial"/>
        <w:noProof/>
        <w:sz w:val="16"/>
        <w:szCs w:val="16"/>
      </w:rPr>
      <w:t>2</w: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proofErr w:type="spellStart"/>
    <w:r w:rsidR="00FC3600">
      <w:rPr>
        <w:rFonts w:ascii="Arial" w:hAnsi="Arial" w:cs="Arial"/>
        <w:sz w:val="16"/>
        <w:szCs w:val="16"/>
      </w:rPr>
      <w:t>Supl</w:t>
    </w:r>
    <w:proofErr w:type="spellEnd"/>
    <w:r w:rsidR="00FC3600">
      <w:rPr>
        <w:rFonts w:ascii="Arial" w:hAnsi="Arial" w:cs="Arial"/>
        <w:sz w:val="16"/>
        <w:szCs w:val="16"/>
      </w:rPr>
      <w:t>. 1</w:t>
    </w:r>
  </w:p>
  <w:p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="00747DCF"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>, pp. xx-xx</w:t>
    </w:r>
  </w:p>
  <w:p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28" w:rsidRDefault="00687D28" w:rsidP="00173399">
      <w:pPr>
        <w:spacing w:after="0" w:line="240" w:lineRule="auto"/>
      </w:pPr>
      <w:r>
        <w:separator/>
      </w:r>
    </w:p>
  </w:footnote>
  <w:footnote w:type="continuationSeparator" w:id="0">
    <w:p w:rsidR="00687D28" w:rsidRDefault="00687D28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:rsidR="002042B4" w:rsidRDefault="002042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XXVI Congreso de la Sociedad Otorrinolaringológica de Castilla y León, Cantabria y La Rioja</w:t>
    </w:r>
  </w:p>
  <w:p w:rsidR="002042B4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Segovia 31 de mayo al 2 de junio de 2018</w:t>
    </w:r>
  </w:p>
  <w:p w:rsidR="002042B4" w:rsidRPr="00632751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Resumen de comunicación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60562"/>
    <w:rsid w:val="000011F7"/>
    <w:rsid w:val="000150F1"/>
    <w:rsid w:val="00040F98"/>
    <w:rsid w:val="000423F5"/>
    <w:rsid w:val="00046D60"/>
    <w:rsid w:val="00071927"/>
    <w:rsid w:val="0009651A"/>
    <w:rsid w:val="000B4630"/>
    <w:rsid w:val="000B55E3"/>
    <w:rsid w:val="000C5CC7"/>
    <w:rsid w:val="000E13CC"/>
    <w:rsid w:val="000F26B9"/>
    <w:rsid w:val="0010746D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D0466"/>
    <w:rsid w:val="001F120A"/>
    <w:rsid w:val="001F38FC"/>
    <w:rsid w:val="002042B4"/>
    <w:rsid w:val="0020729D"/>
    <w:rsid w:val="0022323E"/>
    <w:rsid w:val="0023778A"/>
    <w:rsid w:val="00240A2B"/>
    <w:rsid w:val="002466F5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20A0"/>
    <w:rsid w:val="003652C0"/>
    <w:rsid w:val="00366886"/>
    <w:rsid w:val="00384D7D"/>
    <w:rsid w:val="003854E7"/>
    <w:rsid w:val="00393A51"/>
    <w:rsid w:val="003A59CE"/>
    <w:rsid w:val="003B22D5"/>
    <w:rsid w:val="003B6D02"/>
    <w:rsid w:val="003D6181"/>
    <w:rsid w:val="003E6774"/>
    <w:rsid w:val="003F12C8"/>
    <w:rsid w:val="003F2D2F"/>
    <w:rsid w:val="00427248"/>
    <w:rsid w:val="004323F9"/>
    <w:rsid w:val="004351FB"/>
    <w:rsid w:val="00442BDD"/>
    <w:rsid w:val="004447F0"/>
    <w:rsid w:val="00445015"/>
    <w:rsid w:val="00454D36"/>
    <w:rsid w:val="00465575"/>
    <w:rsid w:val="0046648C"/>
    <w:rsid w:val="00466A53"/>
    <w:rsid w:val="00467F48"/>
    <w:rsid w:val="004810BE"/>
    <w:rsid w:val="00483C0E"/>
    <w:rsid w:val="004B387B"/>
    <w:rsid w:val="004B3D3E"/>
    <w:rsid w:val="004C6E2F"/>
    <w:rsid w:val="004D6F6B"/>
    <w:rsid w:val="00505752"/>
    <w:rsid w:val="00520D41"/>
    <w:rsid w:val="005216CD"/>
    <w:rsid w:val="005231B5"/>
    <w:rsid w:val="00526A06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25C97"/>
    <w:rsid w:val="00632751"/>
    <w:rsid w:val="006378B2"/>
    <w:rsid w:val="00653FF1"/>
    <w:rsid w:val="00662A64"/>
    <w:rsid w:val="00680C99"/>
    <w:rsid w:val="00687D28"/>
    <w:rsid w:val="006A1084"/>
    <w:rsid w:val="006A1BFF"/>
    <w:rsid w:val="006A4129"/>
    <w:rsid w:val="006A7AC6"/>
    <w:rsid w:val="006B7BFC"/>
    <w:rsid w:val="006C7AB1"/>
    <w:rsid w:val="006D0B85"/>
    <w:rsid w:val="006D0C33"/>
    <w:rsid w:val="00703F33"/>
    <w:rsid w:val="007254D3"/>
    <w:rsid w:val="007278B2"/>
    <w:rsid w:val="00732D5D"/>
    <w:rsid w:val="00735D2D"/>
    <w:rsid w:val="00746F9C"/>
    <w:rsid w:val="00747DCF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D5FC3"/>
    <w:rsid w:val="007E4595"/>
    <w:rsid w:val="007F1DF0"/>
    <w:rsid w:val="007F5404"/>
    <w:rsid w:val="007F6FAE"/>
    <w:rsid w:val="00804285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463D"/>
    <w:rsid w:val="008D1146"/>
    <w:rsid w:val="008D3855"/>
    <w:rsid w:val="008F279F"/>
    <w:rsid w:val="008F4954"/>
    <w:rsid w:val="008F6B92"/>
    <w:rsid w:val="009104D1"/>
    <w:rsid w:val="00912AA7"/>
    <w:rsid w:val="00925112"/>
    <w:rsid w:val="0092764C"/>
    <w:rsid w:val="00930327"/>
    <w:rsid w:val="00931F7A"/>
    <w:rsid w:val="00955C24"/>
    <w:rsid w:val="0096252A"/>
    <w:rsid w:val="00967DD2"/>
    <w:rsid w:val="009772A1"/>
    <w:rsid w:val="00980170"/>
    <w:rsid w:val="0099654B"/>
    <w:rsid w:val="009B0233"/>
    <w:rsid w:val="009B0CD8"/>
    <w:rsid w:val="009B190F"/>
    <w:rsid w:val="009B2570"/>
    <w:rsid w:val="009C1F51"/>
    <w:rsid w:val="009E4354"/>
    <w:rsid w:val="00A03AF0"/>
    <w:rsid w:val="00A11EC0"/>
    <w:rsid w:val="00A24D95"/>
    <w:rsid w:val="00A46A50"/>
    <w:rsid w:val="00A50935"/>
    <w:rsid w:val="00A63FEE"/>
    <w:rsid w:val="00A704E6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37B50"/>
    <w:rsid w:val="00C629BB"/>
    <w:rsid w:val="00C74223"/>
    <w:rsid w:val="00CB0E70"/>
    <w:rsid w:val="00CB68B7"/>
    <w:rsid w:val="00CC3E50"/>
    <w:rsid w:val="00CE6456"/>
    <w:rsid w:val="00CE75E3"/>
    <w:rsid w:val="00CF0797"/>
    <w:rsid w:val="00CF4642"/>
    <w:rsid w:val="00CF5D01"/>
    <w:rsid w:val="00D02F39"/>
    <w:rsid w:val="00D10178"/>
    <w:rsid w:val="00D237E8"/>
    <w:rsid w:val="00D25FBF"/>
    <w:rsid w:val="00D33461"/>
    <w:rsid w:val="00D52577"/>
    <w:rsid w:val="00D615FF"/>
    <w:rsid w:val="00D65B70"/>
    <w:rsid w:val="00D77755"/>
    <w:rsid w:val="00D8289A"/>
    <w:rsid w:val="00D8386E"/>
    <w:rsid w:val="00D93957"/>
    <w:rsid w:val="00DA250A"/>
    <w:rsid w:val="00DA49A0"/>
    <w:rsid w:val="00DC17B6"/>
    <w:rsid w:val="00DC19ED"/>
    <w:rsid w:val="00DD0E37"/>
    <w:rsid w:val="00DD178D"/>
    <w:rsid w:val="00DD4126"/>
    <w:rsid w:val="00DD4AAE"/>
    <w:rsid w:val="00DE0873"/>
    <w:rsid w:val="00DF4124"/>
    <w:rsid w:val="00DF7697"/>
    <w:rsid w:val="00DF7EC6"/>
    <w:rsid w:val="00E24768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5784"/>
    <w:rsid w:val="00ED7970"/>
    <w:rsid w:val="00EE73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66EAC"/>
    <w:rsid w:val="00F911AA"/>
    <w:rsid w:val="00F9432C"/>
    <w:rsid w:val="00F9767A"/>
    <w:rsid w:val="00F97D6E"/>
    <w:rsid w:val="00FA3819"/>
    <w:rsid w:val="00FA3E0C"/>
    <w:rsid w:val="00FC3600"/>
    <w:rsid w:val="00FD0301"/>
    <w:rsid w:val="00FE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daniloteran@gmail.com" TargetMode="External"/><Relationship Id="rId13" Type="http://schemas.openxmlformats.org/officeDocument/2006/relationships/hyperlink" Target="http://creativecommons.org/licenses/by-nc-nd/4.0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gablank@hotmail.com" TargetMode="External"/><Relationship Id="rId12" Type="http://schemas.openxmlformats.org/officeDocument/2006/relationships/hyperlink" Target="mailto:navazoeguia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extoyaqui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sabelfdezalb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ierreansorena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B2B715-4F2B-4F51-8B7E-8605B4C9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Windows User</cp:lastModifiedBy>
  <cp:revision>11</cp:revision>
  <cp:lastPrinted>2015-10-30T18:51:00Z</cp:lastPrinted>
  <dcterms:created xsi:type="dcterms:W3CDTF">2018-04-28T17:18:00Z</dcterms:created>
  <dcterms:modified xsi:type="dcterms:W3CDTF">2018-05-03T20:25:00Z</dcterms:modified>
</cp:coreProperties>
</file>